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5230"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977"/>
        <w:gridCol w:w="3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15" w:type="dxa"/>
        </w:trPr>
        <w:tc>
          <w:tcPr>
            <w:tcW w:w="8692" w:type="dxa"/>
            <w:gridSpan w:val="2"/>
            <w:shd w:val="clear" w:color="auto" w:fill="auto"/>
            <w:vAlign w:val="center"/>
          </w:tcPr>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标题：</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市场监管总局关于进一步推进检验检测机构资质认定改革工作的意见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15" w:type="dxa"/>
        </w:trPr>
        <w:tc>
          <w:tcPr>
            <w:tcW w:w="4932" w:type="dxa"/>
            <w:shd w:val="clear" w:color="auto" w:fill="auto"/>
            <w:vAlign w:val="center"/>
          </w:tcPr>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索引号：</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2019-1571968582045</w:t>
            </w:r>
          </w:p>
        </w:tc>
        <w:tc>
          <w:tcPr>
            <w:tcW w:w="3730" w:type="dxa"/>
            <w:shd w:val="clear" w:color="auto" w:fill="auto"/>
            <w:vAlign w:val="center"/>
          </w:tcPr>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主题分类：</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4932" w:type="dxa"/>
            <w:shd w:val="clear" w:color="auto" w:fill="auto"/>
            <w:vAlign w:val="center"/>
          </w:tcPr>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文号：</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国市监检测〔2019〕206号</w:t>
            </w:r>
          </w:p>
        </w:tc>
        <w:tc>
          <w:tcPr>
            <w:tcW w:w="3730" w:type="dxa"/>
            <w:shd w:val="clear" w:color="auto" w:fill="auto"/>
            <w:vAlign w:val="center"/>
          </w:tcPr>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所属机构：</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认可与检验检测监督管理司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4932" w:type="dxa"/>
            <w:shd w:val="clear" w:color="auto" w:fill="auto"/>
            <w:vAlign w:val="center"/>
          </w:tcPr>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成文日期：</w:t>
            </w:r>
          </w:p>
          <w:p>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2019年10月24日</w:t>
            </w:r>
          </w:p>
        </w:tc>
        <w:tc>
          <w:tcPr>
            <w:tcW w:w="3730" w:type="dxa"/>
            <w:shd w:val="clear" w:color="auto" w:fill="auto"/>
            <w:vAlign w:val="center"/>
          </w:tcPr>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333333"/>
                <w:sz w:val="24"/>
                <w:szCs w:val="24"/>
              </w:rPr>
            </w:pPr>
            <w:r>
              <w:rPr>
                <w:rFonts w:hint="eastAsia" w:ascii="宋体" w:hAnsi="宋体" w:eastAsia="宋体" w:cs="宋体"/>
                <w:color w:val="333333"/>
                <w:sz w:val="24"/>
                <w:szCs w:val="24"/>
              </w:rPr>
              <w:t>发布日期：</w:t>
            </w:r>
          </w:p>
          <w:p>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eastAsia" w:ascii="宋体" w:hAnsi="宋体" w:eastAsia="宋体" w:cs="宋体"/>
                <w:color w:val="808080"/>
                <w:sz w:val="24"/>
                <w:szCs w:val="24"/>
              </w:rPr>
            </w:pPr>
            <w:r>
              <w:rPr>
                <w:rFonts w:hint="eastAsia" w:ascii="宋体" w:hAnsi="宋体" w:eastAsia="宋体" w:cs="宋体"/>
                <w:color w:val="808080"/>
                <w:sz w:val="24"/>
                <w:szCs w:val="24"/>
              </w:rPr>
              <w:t>2019年10月25日</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w:t>
      </w:r>
      <w:r>
        <w:rPr>
          <w:rFonts w:hint="eastAsia" w:asciiTheme="majorEastAsia" w:hAnsiTheme="majorEastAsia" w:eastAsiaTheme="majorEastAsia" w:cstheme="majorEastAsia"/>
          <w:b/>
          <w:bCs/>
          <w:i w:val="0"/>
          <w:iCs w:val="0"/>
          <w:caps w:val="0"/>
          <w:color w:val="333333"/>
          <w:spacing w:val="0"/>
          <w:kern w:val="0"/>
          <w:sz w:val="36"/>
          <w:szCs w:val="36"/>
          <w:lang w:val="en-US" w:eastAsia="zh-CN" w:bidi="ar"/>
        </w:rPr>
        <w:t>市场监管总局关于进一步推进检验检测机构资质认</w:t>
      </w:r>
      <w:bookmarkStart w:id="0" w:name="_GoBack"/>
      <w:bookmarkEnd w:id="0"/>
      <w:r>
        <w:rPr>
          <w:rFonts w:hint="eastAsia" w:asciiTheme="majorEastAsia" w:hAnsiTheme="majorEastAsia" w:eastAsiaTheme="majorEastAsia" w:cstheme="majorEastAsia"/>
          <w:b/>
          <w:bCs/>
          <w:i w:val="0"/>
          <w:iCs w:val="0"/>
          <w:caps w:val="0"/>
          <w:color w:val="333333"/>
          <w:spacing w:val="0"/>
          <w:kern w:val="0"/>
          <w:sz w:val="36"/>
          <w:szCs w:val="36"/>
          <w:lang w:val="en-US" w:eastAsia="zh-CN" w:bidi="ar"/>
        </w:rPr>
        <w:t>定改革工作的意见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各省、自治区、直辖市及新疆生产建设兵团市场监管局（厅、委）：</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为深入贯彻“放管服”改革要求，认真落实“证照分离”工作部署，进一步推进检验检测机构资质认定改革，创新完善检验检测市场监管体制机制，优化检验检测机构准入服务，加强事中事后监管，营造公平竞争、健康有序的检验检测市场营商环境，充分激发检验检测市场活力，现就有关事项提出如下意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一、主要改革措施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（一）依法界定检验检测机构资质认定范围，逐步实现资质认定范围清单管理。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1. 法律、法规未明确规定应当取得检验检测机构资质认定的，无需取得资质认定。对于仅从事科研、医学及保健、职业卫生技术评价服务、动植物检疫以及建设工程质量鉴定、房屋鉴定、消防设施维护保养检测等领域的机构，不再颁发资质认定证书。已取得资质认定证书的，有效期内不再受理相关资质认定事项申请，不再延续资质认定证书有效期。</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2. 法律、行政法规对检验检测机构资质管理另有规定的，应当按照国务院有关要求实施检验检测机构资质认定，避免相同事项的重复认定、评审。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（二）试点推行告知承诺制度。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在检验检测机构资质认定工作中，对于检验检测机构能够自我承诺符合告知的法定资质认定条件，市场监管总局和省级市场监管部门通过事中事后予以核查纠正的许可事项，采取告知承诺方式实施资质认定。具体工作按照国务院有关要求和市场监管总局制定的《检验检测机构资质认定告知承诺实施办法（试行）》（见附件）实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市场监管总局负责的检验检测机构资质认定事项和省级市场监管部门负责的涉及本行政区域内自由贸易试验区检验检测机构资质认定事项，先行试点实施告知承诺制度。根据试点工作情况，待条件成熟后，在全国范围内推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（三）优化准入服务，便利机构取证。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1. 检验检测机构申请延续资质认定证书有效期时，对于上一许可周期内无违法违规行为，未列入失信名单，并且申请事项无实质变化的，市场监管总局和省级市场监管部门可以采取形式审查方式，对于符合要求的，予以延续资质认定证书有效期，无需实施现场评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2. 检验检测机构申请无需现场确认的机构法定代表人、最高管理者、技术负责人、授权签字人等人员变更或者无实质变化的有关标准变更时，可以自我声明符合资质认定相关要求，并向市场监管总局或者省级市场监管部门报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lang w:val="en-US" w:eastAsia="zh-CN" w:bidi="ar"/>
        </w:rPr>
        <w:t>　　3. 对于选择一般资质认定程序的，许可时限压缩四分之一，即：15个工作日内作出许可决定、7个工作日内颁发资质认定证书；全面推行检验检测机构资质认定网上许可系统，逐步实现申请、许可、发证全过程电子化。</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yellow"/>
        </w:rPr>
      </w:pPr>
      <w:r>
        <w:rPr>
          <w:rFonts w:hint="eastAsia" w:ascii="宋体" w:hAnsi="宋体" w:eastAsia="宋体" w:cs="宋体"/>
          <w:i w:val="0"/>
          <w:iCs w:val="0"/>
          <w:caps w:val="0"/>
          <w:color w:val="auto"/>
          <w:spacing w:val="0"/>
          <w:kern w:val="0"/>
          <w:sz w:val="24"/>
          <w:szCs w:val="24"/>
          <w:highlight w:val="none"/>
          <w:lang w:val="en-US" w:eastAsia="zh-CN" w:bidi="ar"/>
        </w:rPr>
        <w:t>　　</w:t>
      </w:r>
      <w:r>
        <w:rPr>
          <w:rFonts w:hint="eastAsia" w:ascii="宋体" w:hAnsi="宋体" w:eastAsia="宋体" w:cs="宋体"/>
          <w:i w:val="0"/>
          <w:iCs w:val="0"/>
          <w:caps w:val="0"/>
          <w:color w:val="auto"/>
          <w:spacing w:val="0"/>
          <w:kern w:val="0"/>
          <w:sz w:val="24"/>
          <w:szCs w:val="24"/>
          <w:highlight w:val="yellow"/>
          <w:lang w:val="en-US" w:eastAsia="zh-CN" w:bidi="ar"/>
        </w:rPr>
        <w:t>（四）整合检验检测机构资质认定证书，实现检验检测机构“一家一证”。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color w:val="auto"/>
          <w:sz w:val="24"/>
          <w:szCs w:val="24"/>
          <w:highlight w:val="yellow"/>
        </w:rPr>
      </w:pPr>
      <w:r>
        <w:rPr>
          <w:rFonts w:hint="eastAsia" w:ascii="宋体" w:hAnsi="宋体" w:eastAsia="宋体" w:cs="宋体"/>
          <w:i w:val="0"/>
          <w:iCs w:val="0"/>
          <w:caps w:val="0"/>
          <w:color w:val="auto"/>
          <w:spacing w:val="0"/>
          <w:kern w:val="0"/>
          <w:sz w:val="24"/>
          <w:szCs w:val="24"/>
          <w:highlight w:val="yellow"/>
          <w:lang w:val="en-US" w:eastAsia="zh-CN" w:bidi="ar"/>
        </w:rPr>
        <w:t>　　1. 逐步取消检验检测机构以授权名称取得的资质认定证书，以在机构实体取得的资质认定证书上背书的形式保留其授权名称；检验检测机构与其依法设立的分支机构实行统一质量体系管理的，按照机构自愿申请原则，试点推行证书“一体化”管理，资质认定证书附分支机构地点以及检验检测能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highlight w:val="yellow"/>
          <w:lang w:val="en-US" w:eastAsia="zh-CN" w:bidi="ar"/>
        </w:rPr>
        <w:t>　　2. 检验检测机构具有的检验检测基本条件、技术能力、资质认定信息等相关内容统一接入对外公布的全国检验检测机构大数据平台，纳入全国检验检测服务业统计工作。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二、抓好相关落实工作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（一）加强组织领导，做好宣传培训、指导工作。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各省级市场监管部门要高度重视资质认定改革工作，积极组织做好相关改革措施的宣传、解读工作。加强相关资质认定工作人员和监管人员培训，加快完善网上许可系统、信息系统建设，确保资质认定改革工作顺利推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（二）坚持依法推进，切实履职到位。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各省级市场监管部门要依法推进检验检测机构资质认定相关改革措施，切实履行相关职责，充分释放改革红利。积极配合市场监管总局做好相关法律法规立法协调和修订工作，不断完善法制保障。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（三）加强事中事后监管，落实主体责任。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各省级市场监管部门要全面落实“双随机、一公开”监管要求，对社会关注度高、风险等级高、投诉举报多、暗访问题多的领域实施重点监管，加大抽查比例，严查伪造、出具虚假检验检测数据和结果等违法行为；积极运用信用监管手段，逐步完善“互联网+监管”系统，落实检验检测机构主体责任和相关产品质量连带责任；对以告知承诺方式取得资质认定的机构承诺的真实性进行重点核查，发现虚假承诺或者承诺严重不实的，应当撤销相应资质认定事项，予以公布并记入其信用档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本意见规定的相关改革事项自2019年12月1日起施行。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附件：</w:t>
      </w:r>
      <w:r>
        <w:rPr>
          <w:rFonts w:hint="eastAsia" w:ascii="微软雅黑" w:hAnsi="微软雅黑" w:eastAsia="微软雅黑" w:cs="微软雅黑"/>
          <w:i w:val="0"/>
          <w:iCs w:val="0"/>
          <w:caps w:val="0"/>
          <w:spacing w:val="0"/>
          <w:kern w:val="0"/>
          <w:sz w:val="24"/>
          <w:szCs w:val="24"/>
          <w:u w:val="none"/>
          <w:lang w:val="en-US" w:eastAsia="zh-CN" w:bidi="ar"/>
        </w:rPr>
        <w:fldChar w:fldCharType="begin"/>
      </w:r>
      <w:r>
        <w:rPr>
          <w:rFonts w:hint="eastAsia" w:ascii="微软雅黑" w:hAnsi="微软雅黑" w:eastAsia="微软雅黑" w:cs="微软雅黑"/>
          <w:i w:val="0"/>
          <w:iCs w:val="0"/>
          <w:caps w:val="0"/>
          <w:spacing w:val="0"/>
          <w:kern w:val="0"/>
          <w:sz w:val="24"/>
          <w:szCs w:val="24"/>
          <w:u w:val="none"/>
          <w:lang w:val="en-US" w:eastAsia="zh-CN" w:bidi="ar"/>
        </w:rPr>
        <w:instrText xml:space="preserve"> HYPERLINK "http://gkml.samr.gov.cn/nsjg/rzjcs/201910/W020191025370712861802.doc" </w:instrText>
      </w:r>
      <w:r>
        <w:rPr>
          <w:rFonts w:hint="eastAsia" w:ascii="微软雅黑" w:hAnsi="微软雅黑" w:eastAsia="微软雅黑" w:cs="微软雅黑"/>
          <w:i w:val="0"/>
          <w:iCs w:val="0"/>
          <w:caps w:val="0"/>
          <w:spacing w:val="0"/>
          <w:kern w:val="0"/>
          <w:sz w:val="24"/>
          <w:szCs w:val="24"/>
          <w:u w:val="none"/>
          <w:lang w:val="en-US" w:eastAsia="zh-CN" w:bidi="ar"/>
        </w:rPr>
        <w:fldChar w:fldCharType="separate"/>
      </w:r>
      <w:r>
        <w:rPr>
          <w:rStyle w:val="5"/>
          <w:rFonts w:hint="eastAsia" w:ascii="微软雅黑" w:hAnsi="微软雅黑" w:eastAsia="微软雅黑" w:cs="微软雅黑"/>
          <w:i w:val="0"/>
          <w:iCs w:val="0"/>
          <w:caps w:val="0"/>
          <w:spacing w:val="0"/>
          <w:sz w:val="24"/>
          <w:szCs w:val="24"/>
          <w:u w:val="none"/>
        </w:rPr>
        <w:t>检验检测机构资质认定告知承诺实施办法（试行）</w:t>
      </w:r>
      <w:r>
        <w:rPr>
          <w:rFonts w:hint="eastAsia" w:ascii="微软雅黑" w:hAnsi="微软雅黑" w:eastAsia="微软雅黑" w:cs="微软雅黑"/>
          <w:i w:val="0"/>
          <w:iCs w:val="0"/>
          <w:caps w:val="0"/>
          <w:spacing w:val="0"/>
          <w:kern w:val="0"/>
          <w:sz w:val="24"/>
          <w:szCs w:val="24"/>
          <w:u w:val="none"/>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right"/>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市场监管总局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right"/>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2019年10月24日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kern w:val="0"/>
          <w:sz w:val="24"/>
          <w:szCs w:val="24"/>
          <w:lang w:val="en-US" w:eastAsia="zh-CN" w:bidi="ar"/>
        </w:rPr>
        <w:t>　　（此件公开发布）</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微软雅黑" w:hAnsi="微软雅黑" w:eastAsia="微软雅黑" w:cs="微软雅黑"/>
          <w:i w:val="0"/>
          <w:iCs w:val="0"/>
          <w:caps w:val="0"/>
          <w:spacing w:val="0"/>
          <w:kern w:val="0"/>
          <w:sz w:val="24"/>
          <w:szCs w:val="24"/>
          <w:u w:val="none"/>
          <w:lang w:val="en-US" w:eastAsia="zh-CN" w:bidi="ar"/>
        </w:rPr>
      </w:pPr>
      <w:r>
        <w:rPr>
          <w:rFonts w:hint="eastAsia" w:ascii="宋体" w:hAnsi="宋体" w:eastAsia="宋体" w:cs="宋体"/>
          <w:i w:val="0"/>
          <w:iCs w:val="0"/>
          <w:caps w:val="0"/>
          <w:color w:val="333333"/>
          <w:spacing w:val="0"/>
          <w:kern w:val="0"/>
          <w:sz w:val="24"/>
          <w:szCs w:val="24"/>
          <w:lang w:val="en-US" w:eastAsia="zh-CN" w:bidi="ar"/>
        </w:rPr>
        <w:t> 　　相关链接：</w:t>
      </w:r>
      <w:r>
        <w:rPr>
          <w:rFonts w:hint="eastAsia" w:ascii="微软雅黑" w:hAnsi="微软雅黑" w:eastAsia="微软雅黑" w:cs="微软雅黑"/>
          <w:i w:val="0"/>
          <w:iCs w:val="0"/>
          <w:caps w:val="0"/>
          <w:spacing w:val="0"/>
          <w:kern w:val="0"/>
          <w:sz w:val="24"/>
          <w:szCs w:val="24"/>
          <w:u w:val="none"/>
          <w:lang w:val="en-US" w:eastAsia="zh-CN" w:bidi="ar"/>
        </w:rPr>
        <w:fldChar w:fldCharType="begin"/>
      </w:r>
      <w:r>
        <w:rPr>
          <w:rFonts w:hint="eastAsia" w:ascii="微软雅黑" w:hAnsi="微软雅黑" w:eastAsia="微软雅黑" w:cs="微软雅黑"/>
          <w:i w:val="0"/>
          <w:iCs w:val="0"/>
          <w:caps w:val="0"/>
          <w:spacing w:val="0"/>
          <w:kern w:val="0"/>
          <w:sz w:val="24"/>
          <w:szCs w:val="24"/>
          <w:u w:val="none"/>
          <w:lang w:val="en-US" w:eastAsia="zh-CN" w:bidi="ar"/>
        </w:rPr>
        <w:instrText xml:space="preserve"> HYPERLINK "http://gkml.samr.gov.cn/nsjg/xwxcs/201911/t20191115_308567.html" </w:instrText>
      </w:r>
      <w:r>
        <w:rPr>
          <w:rFonts w:hint="eastAsia" w:ascii="微软雅黑" w:hAnsi="微软雅黑" w:eastAsia="微软雅黑" w:cs="微软雅黑"/>
          <w:i w:val="0"/>
          <w:iCs w:val="0"/>
          <w:caps w:val="0"/>
          <w:spacing w:val="0"/>
          <w:kern w:val="0"/>
          <w:sz w:val="24"/>
          <w:szCs w:val="24"/>
          <w:u w:val="none"/>
          <w:lang w:val="en-US" w:eastAsia="zh-CN" w:bidi="ar"/>
        </w:rPr>
        <w:fldChar w:fldCharType="separate"/>
      </w:r>
      <w:r>
        <w:rPr>
          <w:rStyle w:val="5"/>
          <w:rFonts w:hint="eastAsia" w:ascii="微软雅黑" w:hAnsi="微软雅黑" w:eastAsia="微软雅黑" w:cs="微软雅黑"/>
          <w:i w:val="0"/>
          <w:iCs w:val="0"/>
          <w:caps w:val="0"/>
          <w:color w:val="0000FF"/>
          <w:spacing w:val="0"/>
          <w:sz w:val="24"/>
          <w:szCs w:val="24"/>
          <w:u w:val="none"/>
        </w:rPr>
        <w:t>一图看懂《关于进一步推进检验检测机构资质认定改革工作的意见》</w:t>
      </w:r>
      <w:r>
        <w:rPr>
          <w:rFonts w:hint="eastAsia" w:ascii="微软雅黑" w:hAnsi="微软雅黑" w:eastAsia="微软雅黑" w:cs="微软雅黑"/>
          <w:i w:val="0"/>
          <w:iCs w:val="0"/>
          <w:caps w:val="0"/>
          <w:spacing w:val="0"/>
          <w:kern w:val="0"/>
          <w:sz w:val="24"/>
          <w:szCs w:val="24"/>
          <w:u w:val="none"/>
          <w:lang w:val="en-US" w:eastAsia="zh-CN" w:bidi="ar"/>
        </w:rPr>
        <w:fldChar w:fldCharType="end"/>
      </w:r>
    </w:p>
    <w:p>
      <w:pPr>
        <w:rPr>
          <w:rFonts w:hint="eastAsia" w:ascii="微软雅黑" w:hAnsi="微软雅黑" w:eastAsia="微软雅黑" w:cs="微软雅黑"/>
          <w:i w:val="0"/>
          <w:iCs w:val="0"/>
          <w:caps w:val="0"/>
          <w:spacing w:val="0"/>
          <w:kern w:val="0"/>
          <w:sz w:val="24"/>
          <w:szCs w:val="24"/>
          <w:u w:val="none"/>
          <w:lang w:val="en-US" w:eastAsia="zh-CN" w:bidi="ar"/>
        </w:rPr>
      </w:pPr>
      <w:r>
        <w:rPr>
          <w:rFonts w:hint="eastAsia" w:ascii="微软雅黑" w:hAnsi="微软雅黑" w:eastAsia="微软雅黑" w:cs="微软雅黑"/>
          <w:i w:val="0"/>
          <w:iCs w:val="0"/>
          <w:caps w:val="0"/>
          <w:spacing w:val="0"/>
          <w:kern w:val="0"/>
          <w:sz w:val="24"/>
          <w:szCs w:val="24"/>
          <w:u w:val="none"/>
          <w:lang w:val="en-US" w:eastAsia="zh-CN" w:bidi="ar"/>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both"/>
        <w:rPr>
          <w:rFonts w:hint="eastAsia" w:ascii="微软雅黑" w:hAnsi="微软雅黑" w:eastAsia="微软雅黑" w:cs="微软雅黑"/>
          <w:i w:val="0"/>
          <w:iCs w:val="0"/>
          <w:caps w:val="0"/>
          <w:spacing w:val="0"/>
          <w:kern w:val="0"/>
          <w:sz w:val="24"/>
          <w:szCs w:val="24"/>
          <w:u w:val="none"/>
          <w:lang w:val="en-US" w:eastAsia="zh-CN" w:bidi="ar"/>
        </w:rPr>
      </w:pPr>
      <w:r>
        <w:drawing>
          <wp:inline distT="0" distB="0" distL="114300" distR="114300">
            <wp:extent cx="5751195" cy="7036435"/>
            <wp:effectExtent l="0" t="0" r="190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751195" cy="7036435"/>
                    </a:xfrm>
                    <a:prstGeom prst="rect">
                      <a:avLst/>
                    </a:prstGeom>
                    <a:noFill/>
                    <a:ln>
                      <a:noFill/>
                    </a:ln>
                  </pic:spPr>
                </pic:pic>
              </a:graphicData>
            </a:graphic>
          </wp:inline>
        </w:drawing>
      </w:r>
      <w:r>
        <w:drawing>
          <wp:inline distT="0" distB="0" distL="114300" distR="114300">
            <wp:extent cx="6104255" cy="7099300"/>
            <wp:effectExtent l="0" t="0" r="1079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104255" cy="7099300"/>
                    </a:xfrm>
                    <a:prstGeom prst="rect">
                      <a:avLst/>
                    </a:prstGeom>
                    <a:noFill/>
                    <a:ln>
                      <a:noFill/>
                    </a:ln>
                  </pic:spPr>
                </pic:pic>
              </a:graphicData>
            </a:graphic>
          </wp:inline>
        </w:drawing>
      </w:r>
      <w:r>
        <w:drawing>
          <wp:inline distT="0" distB="0" distL="114300" distR="114300">
            <wp:extent cx="5718810" cy="7841615"/>
            <wp:effectExtent l="0" t="0" r="152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718810" cy="7841615"/>
                    </a:xfrm>
                    <a:prstGeom prst="rect">
                      <a:avLst/>
                    </a:prstGeom>
                    <a:noFill/>
                    <a:ln>
                      <a:noFill/>
                    </a:ln>
                  </pic:spPr>
                </pic:pic>
              </a:graphicData>
            </a:graphic>
          </wp:inline>
        </w:drawing>
      </w:r>
      <w:r>
        <w:drawing>
          <wp:inline distT="0" distB="0" distL="114300" distR="114300">
            <wp:extent cx="5894070" cy="7748905"/>
            <wp:effectExtent l="0" t="0" r="1143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894070" cy="7748905"/>
                    </a:xfrm>
                    <a:prstGeom prst="rect">
                      <a:avLst/>
                    </a:prstGeom>
                    <a:noFill/>
                    <a:ln>
                      <a:noFill/>
                    </a:ln>
                  </pic:spPr>
                </pic:pic>
              </a:graphicData>
            </a:graphic>
          </wp:inline>
        </w:drawing>
      </w:r>
      <w:r>
        <w:drawing>
          <wp:inline distT="0" distB="0" distL="114300" distR="114300">
            <wp:extent cx="5852160" cy="8347710"/>
            <wp:effectExtent l="0" t="0" r="1524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852160" cy="83477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079D3"/>
    <w:multiLevelType w:val="multilevel"/>
    <w:tmpl w:val="A0F079D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CEDB7808"/>
    <w:multiLevelType w:val="multilevel"/>
    <w:tmpl w:val="CEDB780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DED7E37A"/>
    <w:multiLevelType w:val="multilevel"/>
    <w:tmpl w:val="DED7E37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E81076A5"/>
    <w:multiLevelType w:val="multilevel"/>
    <w:tmpl w:val="E81076A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0AB2085D"/>
    <w:multiLevelType w:val="multilevel"/>
    <w:tmpl w:val="0AB208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0FB13CB3"/>
    <w:multiLevelType w:val="multilevel"/>
    <w:tmpl w:val="0FB13CB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5638C16E"/>
    <w:multiLevelType w:val="multilevel"/>
    <w:tmpl w:val="5638C16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5"/>
  </w:num>
  <w:num w:numId="2">
    <w:abstractNumId w:val="4"/>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C83FE5"/>
    <w:rsid w:val="39492D7D"/>
    <w:rsid w:val="4CA254A0"/>
    <w:rsid w:val="57C049CE"/>
    <w:rsid w:val="730D02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2021-07-07T07:18:00Z</dcterms:created>
  <dc:creator>CLS</dc:creator>
  <cp:lastModifiedBy>CLS</cp:lastModifiedBy>
  <dcterms:modified xsi:type="dcterms:W3CDTF">2021-08-17T03:03:45Z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009527A2192A46D2B4EB92E1064B4E71</vt:lpwstr>
  </property>
</Properties>
</file>